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FFBDE" w14:textId="77777777" w:rsidR="001C2816" w:rsidRPr="008873C4" w:rsidRDefault="00624037" w:rsidP="008873C4">
      <w:pPr>
        <w:pStyle w:val="Pagedecouverture"/>
      </w:pPr>
      <w:bookmarkStart w:id="0" w:name="_GoBack"/>
      <w:bookmarkEnd w:id="0"/>
      <w:r>
        <w:pict w14:anchorId="21A10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B9447FB-C18D-4E64-A652-669BD8EE2A64" style="width:450.8pt;height:395.05pt">
            <v:imagedata r:id="rId7" o:title=""/>
          </v:shape>
        </w:pict>
      </w:r>
    </w:p>
    <w:p w14:paraId="1F9E50A3" w14:textId="77777777" w:rsidR="002402D9" w:rsidRPr="008873C4" w:rsidRDefault="002402D9">
      <w:pPr>
        <w:sectPr w:rsidR="002402D9" w:rsidRPr="008873C4" w:rsidSect="00F164C2">
          <w:footerReference w:type="default" r:id="rId8"/>
          <w:pgSz w:w="11907" w:h="16839"/>
          <w:pgMar w:top="1134" w:right="1417" w:bottom="1134" w:left="1417" w:header="709" w:footer="709" w:gutter="0"/>
          <w:pgNumType w:start="0"/>
          <w:cols w:space="720"/>
          <w:docGrid w:linePitch="360"/>
        </w:sectPr>
      </w:pPr>
    </w:p>
    <w:p w14:paraId="178840A7" w14:textId="77777777" w:rsidR="002402D9" w:rsidRPr="008873C4" w:rsidRDefault="008873C4" w:rsidP="008873C4">
      <w:pPr>
        <w:pStyle w:val="Typedudocument"/>
      </w:pPr>
      <w:r w:rsidRPr="008873C4">
        <w:lastRenderedPageBreak/>
        <w:t>KOMMISSIONENS GENNEMFØRELSESAFGØRELSE (EU) …/…</w:t>
      </w:r>
    </w:p>
    <w:p w14:paraId="61250C6D" w14:textId="77777777" w:rsidR="002402D9" w:rsidRPr="008873C4" w:rsidRDefault="008873C4" w:rsidP="008873C4">
      <w:pPr>
        <w:pStyle w:val="Datedadoption"/>
      </w:pPr>
      <w:r w:rsidRPr="008873C4">
        <w:t xml:space="preserve">af </w:t>
      </w:r>
      <w:r w:rsidRPr="008873C4">
        <w:rPr>
          <w:rStyle w:val="Marker2"/>
        </w:rPr>
        <w:t>XXX</w:t>
      </w:r>
    </w:p>
    <w:p w14:paraId="655A8F8E" w14:textId="77777777" w:rsidR="002402D9" w:rsidRPr="008873C4" w:rsidRDefault="008873C4" w:rsidP="008873C4">
      <w:pPr>
        <w:pStyle w:val="Titreobjet"/>
      </w:pPr>
      <w:r w:rsidRPr="008873C4">
        <w:t>om standardkontraktbestemmelser mellem dataansvarlige og databehandlere i henhold til artikel 28, stk. 7, i Europa-Parlamentets og Rådets forordning (EU) 2016/679 og artikel 29, stk. 7, i Europa-Parlamentets og Rådets forordning (EU) 2018/1725</w:t>
      </w:r>
    </w:p>
    <w:p w14:paraId="5E42323F" w14:textId="77777777" w:rsidR="002402D9" w:rsidRPr="008873C4" w:rsidRDefault="008873C4" w:rsidP="008873C4">
      <w:pPr>
        <w:pStyle w:val="IntrtEEE"/>
      </w:pPr>
      <w:r w:rsidRPr="008873C4">
        <w:t>(EØS-relevant tekst)</w:t>
      </w:r>
    </w:p>
    <w:p w14:paraId="2C8E77CD" w14:textId="77777777" w:rsidR="002402D9" w:rsidRPr="008873C4" w:rsidRDefault="002402D9" w:rsidP="002402D9">
      <w:pPr>
        <w:pStyle w:val="Institutionquiagit"/>
      </w:pPr>
      <w:r w:rsidRPr="008873C4">
        <w:t>EUROPA-KOMMISSIONEN HAR ––</w:t>
      </w:r>
    </w:p>
    <w:p w14:paraId="7096AFF0" w14:textId="77777777" w:rsidR="002402D9" w:rsidRPr="008873C4" w:rsidRDefault="002402D9" w:rsidP="002402D9">
      <w:r w:rsidRPr="008873C4">
        <w:rPr>
          <w:color w:val="000000"/>
        </w:rPr>
        <w:t>under henvisning til traktaten om Den Europæiske Unions funktionsmåde</w:t>
      </w:r>
      <w:r w:rsidRPr="008873C4">
        <w:t>,</w:t>
      </w:r>
    </w:p>
    <w:p w14:paraId="5FE87A6E" w14:textId="77777777" w:rsidR="002402D9" w:rsidRPr="008873C4" w:rsidRDefault="002402D9" w:rsidP="002402D9">
      <w:r w:rsidRPr="008873C4">
        <w:t>under henvisning til Europa-Parlamentets og Rådets forordning (EU) 2016/679 af 27. april 2016 om beskyttelse af fysiske personer i forbindelse med behandling af personoplysninger og om fri udveksling af sådanne oplysninger og om ophævelse af direktiv 95/46/EF (generel forordning om databeskyttelse)</w:t>
      </w:r>
      <w:r w:rsidRPr="008873C4">
        <w:rPr>
          <w:rStyle w:val="FootnoteReference"/>
        </w:rPr>
        <w:footnoteReference w:id="1"/>
      </w:r>
      <w:r w:rsidRPr="008873C4">
        <w:t xml:space="preserve">, særlig artikel 28, stk. 7, </w:t>
      </w:r>
    </w:p>
    <w:p w14:paraId="74ADABB1" w14:textId="77777777" w:rsidR="002402D9" w:rsidRPr="008873C4" w:rsidRDefault="002402D9" w:rsidP="002402D9">
      <w:r w:rsidRPr="008873C4">
        <w:t>under henvisning til 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1247/2002/EF</w:t>
      </w:r>
      <w:r w:rsidRPr="008873C4">
        <w:rPr>
          <w:rStyle w:val="FootnoteReference"/>
        </w:rPr>
        <w:footnoteReference w:id="2"/>
      </w:r>
      <w:r w:rsidRPr="008873C4">
        <w:t>, særlig artikel 29, stk. 7, og</w:t>
      </w:r>
    </w:p>
    <w:p w14:paraId="45A0AE6B" w14:textId="77777777" w:rsidR="002402D9" w:rsidRPr="008873C4" w:rsidRDefault="002402D9" w:rsidP="002402D9">
      <w:r w:rsidRPr="008873C4">
        <w:t>ud fra følgende betragtninger:</w:t>
      </w:r>
    </w:p>
    <w:p w14:paraId="4050284C" w14:textId="77777777" w:rsidR="002402D9" w:rsidRPr="008873C4" w:rsidRDefault="002402D9" w:rsidP="00364079">
      <w:pPr>
        <w:pStyle w:val="Considrant"/>
        <w:numPr>
          <w:ilvl w:val="0"/>
          <w:numId w:val="1"/>
        </w:numPr>
      </w:pPr>
      <w:r w:rsidRPr="008873C4">
        <w:t>Begreberne dataansvarlig og databehandler spiller en afgørende rolle i anvendelsen af forordning (EU) 2016/679 og forordning (EU) 2018/1725. Den dataansvarlige er den fysiske eller juridiske person, offentlige myndighed, institution eller andet organ, som alene eller sammen med andre afgør, til hvilket formål og med hvilke hjælpemidler der må foretages behandling af personoplysninger. Med henblik på forordning (EU) 2018/1725 forstås ved en dataansvarlig den EU-institution eller det EU-organ eller generaldirektorat eller enhver anden organisatorisk enhed, der alene eller sammen med andre afgør, til hvilket formål og med hvilke hjælpemidler der må foretages behandling af personoplysninger. Hvis formålet med og hjælpemidlerne til en sådan behandling er fastlagt i en specifik EU-retsakt, kan Unionen fastsætte den dataansvarlige eller de specifikke kriterier for udpegelse af denne. En databehandler er den fysiske eller juridiske person, offentlige myndighed, institution eller andet organ, der behandler personoplysninger på den dataansvarliges vegne.</w:t>
      </w:r>
    </w:p>
    <w:p w14:paraId="5E26B4E3" w14:textId="77777777" w:rsidR="006E1BCC" w:rsidRPr="008873C4" w:rsidRDefault="002402D9" w:rsidP="006E1BCC">
      <w:pPr>
        <w:pStyle w:val="Considrant"/>
        <w:numPr>
          <w:ilvl w:val="0"/>
          <w:numId w:val="1"/>
        </w:numPr>
      </w:pPr>
      <w:r w:rsidRPr="008873C4">
        <w:t xml:space="preserve">Det samme sæt standardkontraktbestemmelser bør gælde for forholdet mellem dataansvarlige og databehandlere, der er omfattet af forordning (EU) 2016/679, og ligeledes, når de er omfattet af forordning (EU) 2018/1725. Grunden hertil er, at databeskyttelsesreglerne i forordning (EU) 2016/679, der finder anvendelse på den offentlige sektor i medlemsstaterne, og databeskyttelsesreglerne i forordning (EU) 2018/1725, der finder anvendelse på Unionens institutioner, organer, kontorer og agenturer, så vidt muligt er blevet tilpasset hinanden for at have en sammenhængende </w:t>
      </w:r>
      <w:r w:rsidRPr="008873C4">
        <w:lastRenderedPageBreak/>
        <w:t xml:space="preserve">tilgang til beskyttelse af personoplysninger i hele Unionen og fri udveksling af personoplysninger i Unionen. </w:t>
      </w:r>
    </w:p>
    <w:p w14:paraId="0DF65B09" w14:textId="77777777" w:rsidR="002402D9" w:rsidRPr="008873C4" w:rsidRDefault="002402D9" w:rsidP="001340E7">
      <w:pPr>
        <w:pStyle w:val="Considrant"/>
      </w:pPr>
      <w:r w:rsidRPr="008873C4">
        <w:t>For at sikre overholdelse af kravene i forordning (EU) 2016/679 og (EU) 2018/1725 bør den dataansvarlige, når denne overdrager behandlingsaktiviteter til en databehandler, kun anvende databehandlere, der giver tilstrækkelige garantier, navnlig med hensyn til ekspertviden, pålidelighed og ressourcer, til at gennemføre tekniske og organisatoriske foranstaltninger, der opfylder kravene i forordning (EU) 2016/679 og forordning (EU) 2018/1725, herunder med hensyn til behandlingssikkerhed.</w:t>
      </w:r>
    </w:p>
    <w:p w14:paraId="3F0F1155" w14:textId="77777777" w:rsidR="002402D9" w:rsidRPr="008873C4" w:rsidRDefault="002402D9" w:rsidP="002402D9">
      <w:pPr>
        <w:pStyle w:val="Considrant"/>
      </w:pPr>
      <w:r w:rsidRPr="008873C4">
        <w:t>En databehandlers behandling skal være reguleret af en kontrakt eller et andet retligt dokument i henhold til EU-retten eller medlemsstaternes nationale ret, som er bindende for databehandleren med hensyn til den dataansvarlige, og som fastsætter de elementer, der er anført i artikel 28, stk. 3 og 4, i forordning (EU) 2016/679 eller artikel 29, stk. 3 og 4, i forordning (EU) 2018/1725. Den pågældende kontrakt eller det pågældende dokument skal være skriftlig, herunder i elektronisk form.</w:t>
      </w:r>
    </w:p>
    <w:p w14:paraId="4018B209" w14:textId="77777777" w:rsidR="002402D9" w:rsidRPr="008873C4" w:rsidRDefault="002402D9" w:rsidP="002402D9">
      <w:pPr>
        <w:pStyle w:val="Considrant"/>
      </w:pPr>
      <w:r w:rsidRPr="008873C4">
        <w:t xml:space="preserve">I overensstemmelse med artikel 28, stk. 6, i forordning (EU) 2016/679 og artikel 29, stk. 6, i forordning (EU) 2018/1725 kan den dataansvarlige og databehandleren vælge at forhandle en individuel kontrakt, der indeholder de obligatoriske elementer, der er fastsat i henholdsvis artikel 28, stk. 3 og 4, i forordning (EU) 2016/679 eller artikel 29, stk. 3 og 4, i forordning (EU) 2018/1725, eller helt eller delvist at anvende standardkontraktbestemmelser vedtaget af Kommissionen i henhold til artikel 28, stk. 7, i forordning (EU) 2016/679 og artikel 29, stk. 7, i forordning (EU) 2018/1725. </w:t>
      </w:r>
    </w:p>
    <w:p w14:paraId="0E72DA0A" w14:textId="77777777" w:rsidR="002402D9" w:rsidRPr="008873C4" w:rsidRDefault="002402D9" w:rsidP="002402D9">
      <w:pPr>
        <w:pStyle w:val="Considrant"/>
      </w:pPr>
      <w:r w:rsidRPr="008873C4">
        <w:t>Den dataansvarlige og databehandleren bør frit kunne medtage de standardkontraktbestemmelser, der er fastsat i denne afgørelse, i en bredere kontrakt og tilføje andre bestemmelser eller yderligere garantier, forudsat at de ikke direkte eller indirekte er i strid med standardkontraktbestemmelserne eller berører de registreredes grundlæggende rettigheder eller frihedsrettigheder. Anvendelsen af standardkontraktbestemmelserne berører ikke eventuelle kontraktlige forpligtelser for den dataansvarlige og/eller databehandleren til at sikre overholdelse af gældende privilegier og immuniteter.</w:t>
      </w:r>
    </w:p>
    <w:p w14:paraId="67237225" w14:textId="77777777" w:rsidR="002402D9" w:rsidRPr="008873C4" w:rsidRDefault="002402D9" w:rsidP="002402D9">
      <w:pPr>
        <w:pStyle w:val="Considrant"/>
      </w:pPr>
      <w:r w:rsidRPr="008873C4">
        <w:t xml:space="preserve">Standardkontraktbestemmelserne bør indeholde både materielle og proceduremæssige regler. I overensstemmelse med artikel 28, stk. 3, i forordning (EU) 2016/679 og artikel 29, stk. 3, i forordning (EU) 2018/1725 bør standardkontraktbestemmelserne også kræve, at den dataansvarlige og databehandleren fastsætter genstanden for og varigheden af behandlingen, behandlingens karakter og formål, typen af personoplysninger, kategorierne af registrerede og den dataansvarliges forpligtelser og rettigheder. </w:t>
      </w:r>
    </w:p>
    <w:p w14:paraId="55DEDE57" w14:textId="77777777" w:rsidR="002402D9" w:rsidRPr="008873C4" w:rsidRDefault="002402D9" w:rsidP="002402D9">
      <w:pPr>
        <w:pStyle w:val="Considrant"/>
      </w:pPr>
      <w:r w:rsidRPr="008873C4">
        <w:t>I henhold til artikel 28, stk. 3, i forordning (EU) 2016/679 og til artikel 29, stk. 3, i forordning (EU) 2018/1725 skal databehandleren straks underrette den dataansvarlige, hvis en instruks fra den dataansvarlige efter dennes opfattelse er i strid med forordning (EU) 2016/679 eller forordning (EU) 2018/1725 eller databeskyttelsesbestemmelser i anden EU-ret eller medlemsstaternes nationale ret.</w:t>
      </w:r>
    </w:p>
    <w:p w14:paraId="620494D5" w14:textId="77777777" w:rsidR="002402D9" w:rsidRPr="008873C4" w:rsidRDefault="005D6D0A" w:rsidP="002402D9">
      <w:pPr>
        <w:pStyle w:val="Considrant"/>
      </w:pPr>
      <w:r w:rsidRPr="008873C4">
        <w:t xml:space="preserve">Hvis en databehandler lader en anden databehandler udføre specifikke aktiviteter, bør de særlige krav, der er omhandlet i artikel 28, stk. 2 og 4, i forordning (EU) 2016/679 eller artikel 29, stk. 2 og 4, i forordning (EU) 2018/1725, finde anvendelse. Der kræves navnlig en specifik eller generel skriftlig forhåndsgodkendelse. Uanset om denne forhåndsgodkendelse er specifik eller generel, bør den første databehandler ajourføre en liste over andre databehandlere. </w:t>
      </w:r>
    </w:p>
    <w:p w14:paraId="64CE986D" w14:textId="77777777" w:rsidR="002402D9" w:rsidRPr="008873C4" w:rsidRDefault="002402D9" w:rsidP="002402D9">
      <w:pPr>
        <w:pStyle w:val="Considrant"/>
      </w:pPr>
      <w:r w:rsidRPr="008873C4">
        <w:t xml:space="preserve">For at opfylde kravene i artikel 46, stk. 1, i forordning (EU) 2016/679 har Kommissionen vedtaget standardkontraktbestemmelser i henhold til artikel 46, stk. 2, litra c), i forordning (EU) 2016/679. Disse bestemmelser opfylder også kravene i artikel 28, stk. 3 og 4, i forordning (EU) 2016/679 for dataoverførsler fra dataansvarlige, der er omfattet af forordning (EU) 2016/679, til databehandlere uden for forordningens geografiske anvendelsesområde eller fra databehandlere, der er omfattet af forordning (EU) 2016/679, til underdatabehandlere uden for forordningens geografiske anvendelsesområde. Disse standardkontraktbestemmelser kan ikke anvendes som standardkontraktbestemmelser med henblik på kapitel V i forordning (EU) 2016/679. </w:t>
      </w:r>
    </w:p>
    <w:p w14:paraId="64BA80C3" w14:textId="77777777" w:rsidR="002402D9" w:rsidRPr="008873C4" w:rsidRDefault="002402D9" w:rsidP="002402D9">
      <w:pPr>
        <w:pStyle w:val="Considrant"/>
      </w:pPr>
      <w:r w:rsidRPr="008873C4">
        <w:t>Tredjeparter bør kunne blive part i standardkontraktbestemmelserne i hele kontraktens løbetid.</w:t>
      </w:r>
    </w:p>
    <w:p w14:paraId="61EA99A5" w14:textId="77777777" w:rsidR="002402D9" w:rsidRPr="008873C4" w:rsidRDefault="002402D9" w:rsidP="002402D9">
      <w:pPr>
        <w:pStyle w:val="Considrant"/>
      </w:pPr>
      <w:r w:rsidRPr="008873C4">
        <w:t xml:space="preserve">Anvendelsen af standardkontraktbestemmelserne bør evalueres som en del af den regelmæssige evaluering af forordning (EU) 2016/679, der er omhandlet i artikel 97 i nævnte forordning. </w:t>
      </w:r>
    </w:p>
    <w:p w14:paraId="001542DC" w14:textId="77777777" w:rsidR="002402D9" w:rsidRPr="008873C4" w:rsidRDefault="002402D9" w:rsidP="002402D9">
      <w:pPr>
        <w:pStyle w:val="Considrant"/>
      </w:pPr>
      <w:r w:rsidRPr="008873C4">
        <w:t>Den Europæiske Tilsynsførende for Databeskyttelse og Det Europæiske Databeskyttelsesråd er blevet hørt i overensstemmelse med artikel 42, stk. 1 og 2, i forordn</w:t>
      </w:r>
      <w:r w:rsidR="001177C7">
        <w:t>ing (EU) 2018/1725 og afgav en fælles udtalelse den 14. januar 2021</w:t>
      </w:r>
      <w:r w:rsidRPr="008873C4">
        <w:rPr>
          <w:rStyle w:val="FootnoteReference"/>
        </w:rPr>
        <w:footnoteReference w:id="3"/>
      </w:r>
      <w:r w:rsidRPr="008873C4">
        <w:t>, som er taget i betragtning ved ud</w:t>
      </w:r>
      <w:r w:rsidR="001177C7">
        <w:t>arbejdelsen af denne afgørelse.</w:t>
      </w:r>
    </w:p>
    <w:p w14:paraId="4AB2A553" w14:textId="77777777" w:rsidR="002402D9" w:rsidRPr="008873C4" w:rsidRDefault="002402D9" w:rsidP="002402D9">
      <w:pPr>
        <w:pStyle w:val="Considrant"/>
      </w:pPr>
      <w:r w:rsidRPr="008873C4">
        <w:t>Foranstaltningerne i denne afgørelse stemmer overens med udtalelsen fra det udvalg, der er nedsat ved artikel 93 i forordning (EU) 2016/679 og artikel 96, stk. 2, i forordning (EU) 2018/1725 —</w:t>
      </w:r>
    </w:p>
    <w:p w14:paraId="427D2BDB" w14:textId="77777777" w:rsidR="002402D9" w:rsidRPr="008873C4" w:rsidRDefault="002402D9" w:rsidP="002402D9">
      <w:pPr>
        <w:pStyle w:val="Formuledadoption"/>
      </w:pPr>
      <w:r w:rsidRPr="008873C4">
        <w:t xml:space="preserve">VEDTAGET DENNE AFGØRELSE: </w:t>
      </w:r>
    </w:p>
    <w:p w14:paraId="57085BB4" w14:textId="77777777" w:rsidR="002402D9" w:rsidRPr="008873C4" w:rsidRDefault="002402D9" w:rsidP="002402D9">
      <w:pPr>
        <w:pStyle w:val="Titrearticle"/>
      </w:pPr>
      <w:r w:rsidRPr="008873C4">
        <w:t>Artikel 1</w:t>
      </w:r>
    </w:p>
    <w:p w14:paraId="76B2FED9" w14:textId="77777777" w:rsidR="002402D9" w:rsidRPr="008873C4" w:rsidRDefault="002402D9" w:rsidP="002402D9">
      <w:r w:rsidRPr="008873C4">
        <w:t>Standardkontraktbestemmelserne, som fastsat i bilaget, opfylder kravene til kontrakter mellem dataansvarlige og databehandlere i artikel 28, stk. 3 og 4, i forordning (EU) 2016/679 og i artikel 29, stk. 3 og 4, i forordning (EU) 2018/1725.</w:t>
      </w:r>
    </w:p>
    <w:p w14:paraId="4BE7D1B4" w14:textId="77777777" w:rsidR="002402D9" w:rsidRPr="008873C4" w:rsidRDefault="002402D9" w:rsidP="002402D9">
      <w:pPr>
        <w:pStyle w:val="Titrearticle"/>
      </w:pPr>
      <w:r w:rsidRPr="008873C4">
        <w:t>Artikel 2</w:t>
      </w:r>
    </w:p>
    <w:p w14:paraId="1764BE6F" w14:textId="77777777" w:rsidR="002402D9" w:rsidRPr="008873C4" w:rsidRDefault="002402D9" w:rsidP="002402D9">
      <w:r w:rsidRPr="008873C4">
        <w:t xml:space="preserve">Standardkontraktbestemmelserne, som fastsat i bilaget, kan anvendes i kontrakter mellem en dataansvarlig og en databehandler, der behandler personoplysninger på vegne af den dataansvarlige. </w:t>
      </w:r>
    </w:p>
    <w:p w14:paraId="0EEA6C36" w14:textId="77777777" w:rsidR="002402D9" w:rsidRPr="008873C4" w:rsidRDefault="002402D9" w:rsidP="002402D9">
      <w:pPr>
        <w:pStyle w:val="Titrearticle"/>
      </w:pPr>
      <w:r w:rsidRPr="008873C4">
        <w:t>Artikel 3</w:t>
      </w:r>
    </w:p>
    <w:p w14:paraId="52461CD2" w14:textId="77777777" w:rsidR="002402D9" w:rsidRPr="008873C4" w:rsidRDefault="002402D9" w:rsidP="002402D9">
      <w:pPr>
        <w:rPr>
          <w:rFonts w:eastAsia="Calibri"/>
        </w:rPr>
      </w:pPr>
      <w:r w:rsidRPr="008873C4">
        <w:t xml:space="preserve">Kommissionen evaluerer den praktiske anvendelse af standardkontraktbestemmelserne i bilaget på grundlag af alle tilgængelige oplysninger som led i den regelmæssige evaluering, der er omhandlet i artikel 97 i forordning (EU) 2016/679. </w:t>
      </w:r>
    </w:p>
    <w:p w14:paraId="66CC8FE2" w14:textId="77777777" w:rsidR="002402D9" w:rsidRPr="008873C4" w:rsidRDefault="002402D9" w:rsidP="002402D9">
      <w:pPr>
        <w:pStyle w:val="Titrearticle"/>
      </w:pPr>
      <w:r w:rsidRPr="008873C4">
        <w:t>Artikel 4</w:t>
      </w:r>
    </w:p>
    <w:p w14:paraId="50B8CB02" w14:textId="77777777" w:rsidR="001177C7" w:rsidRDefault="001177C7" w:rsidP="004D7C78">
      <w:r>
        <w:t xml:space="preserve">Denne afgørelse træder i kraft på tyvendedagen efter offentliggørelsen i </w:t>
      </w:r>
      <w:r w:rsidRPr="001177C7">
        <w:rPr>
          <w:i/>
        </w:rPr>
        <w:t>Den Europæiske Unions Tidende</w:t>
      </w:r>
      <w:r>
        <w:t>.</w:t>
      </w:r>
    </w:p>
    <w:p w14:paraId="5C50F9DF" w14:textId="77777777" w:rsidR="002402D9" w:rsidRPr="008873C4" w:rsidRDefault="008873C4" w:rsidP="008873C4">
      <w:pPr>
        <w:pStyle w:val="Fait"/>
      </w:pPr>
      <w:r w:rsidRPr="008873C4">
        <w:t xml:space="preserve">Udfærdiget i Bruxelles, den </w:t>
      </w:r>
      <w:r w:rsidR="001177C7">
        <w:rPr>
          <w:rStyle w:val="Marker"/>
        </w:rPr>
        <w:t>[…]</w:t>
      </w:r>
      <w:r w:rsidRPr="008873C4">
        <w:t>.</w:t>
      </w:r>
    </w:p>
    <w:p w14:paraId="298EBA4D" w14:textId="77777777" w:rsidR="002402D9" w:rsidRPr="008873C4" w:rsidRDefault="002402D9" w:rsidP="002402D9">
      <w:pPr>
        <w:pStyle w:val="Institutionquisigne"/>
      </w:pPr>
      <w:r w:rsidRPr="008873C4">
        <w:tab/>
        <w:t>På Kommissionens vegne</w:t>
      </w:r>
    </w:p>
    <w:p w14:paraId="638DF117" w14:textId="77777777" w:rsidR="002402D9" w:rsidRPr="008873C4" w:rsidRDefault="002402D9" w:rsidP="002402D9">
      <w:pPr>
        <w:pStyle w:val="Personnequisigne"/>
        <w:rPr>
          <w:rStyle w:val="Marker1"/>
        </w:rPr>
      </w:pPr>
      <w:r w:rsidRPr="008873C4">
        <w:tab/>
      </w:r>
      <w:r w:rsidRPr="008873C4">
        <w:rPr>
          <w:rStyle w:val="Marker"/>
        </w:rPr>
        <w:t>Ursula VON DER LEYEN</w:t>
      </w:r>
    </w:p>
    <w:p w14:paraId="5766E661" w14:textId="77777777" w:rsidR="002402D9" w:rsidRPr="008873C4" w:rsidRDefault="002402D9" w:rsidP="00F476B5">
      <w:pPr>
        <w:pStyle w:val="Personnequisigne"/>
      </w:pPr>
      <w:r w:rsidRPr="008873C4">
        <w:tab/>
        <w:t xml:space="preserve">Formand </w:t>
      </w:r>
    </w:p>
    <w:sectPr w:rsidR="002402D9" w:rsidRPr="008873C4" w:rsidSect="00F164C2">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12F11" w14:textId="77777777" w:rsidR="00942512" w:rsidRDefault="00942512" w:rsidP="002402D9">
      <w:pPr>
        <w:spacing w:before="0" w:after="0"/>
      </w:pPr>
      <w:r>
        <w:separator/>
      </w:r>
    </w:p>
  </w:endnote>
  <w:endnote w:type="continuationSeparator" w:id="0">
    <w:p w14:paraId="68B03692" w14:textId="77777777"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9D351" w14:textId="596C5619" w:rsidR="004D6C74" w:rsidRPr="00F164C2" w:rsidRDefault="00F164C2" w:rsidP="00F164C2">
    <w:pPr>
      <w:pStyle w:val="Footer"/>
      <w:rPr>
        <w:rFonts w:ascii="Arial" w:hAnsi="Arial" w:cs="Arial"/>
        <w:b/>
        <w:sz w:val="48"/>
      </w:rPr>
    </w:pPr>
    <w:r w:rsidRPr="00F164C2">
      <w:rPr>
        <w:rFonts w:ascii="Arial" w:hAnsi="Arial" w:cs="Arial"/>
        <w:b/>
        <w:sz w:val="48"/>
      </w:rPr>
      <w:t>DA</w:t>
    </w:r>
    <w:r w:rsidRPr="00F164C2">
      <w:rPr>
        <w:rFonts w:ascii="Arial" w:hAnsi="Arial" w:cs="Arial"/>
        <w:b/>
        <w:sz w:val="48"/>
      </w:rPr>
      <w:tab/>
    </w:r>
    <w:r w:rsidRPr="00F164C2">
      <w:rPr>
        <w:rFonts w:ascii="Arial" w:hAnsi="Arial" w:cs="Arial"/>
        <w:b/>
        <w:sz w:val="48"/>
      </w:rPr>
      <w:tab/>
    </w:r>
    <w:r w:rsidRPr="00F164C2">
      <w:tab/>
    </w:r>
    <w:r w:rsidRPr="00F164C2">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A31DD" w14:textId="15CD030B" w:rsidR="00F164C2" w:rsidRPr="00F164C2" w:rsidRDefault="00F164C2" w:rsidP="00F164C2">
    <w:pPr>
      <w:pStyle w:val="Footer"/>
      <w:rPr>
        <w:rFonts w:ascii="Arial" w:hAnsi="Arial" w:cs="Arial"/>
        <w:b/>
        <w:sz w:val="48"/>
      </w:rPr>
    </w:pPr>
    <w:r w:rsidRPr="00F164C2">
      <w:rPr>
        <w:rFonts w:ascii="Arial" w:hAnsi="Arial" w:cs="Arial"/>
        <w:b/>
        <w:sz w:val="48"/>
      </w:rPr>
      <w:t>DA</w:t>
    </w:r>
    <w:r w:rsidRPr="00F164C2">
      <w:rPr>
        <w:rFonts w:ascii="Arial" w:hAnsi="Arial" w:cs="Arial"/>
        <w:b/>
        <w:sz w:val="48"/>
      </w:rPr>
      <w:tab/>
    </w:r>
    <w:r>
      <w:fldChar w:fldCharType="begin"/>
    </w:r>
    <w:r>
      <w:instrText xml:space="preserve"> PAGE  \* MERGEFORMAT </w:instrText>
    </w:r>
    <w:r>
      <w:fldChar w:fldCharType="separate"/>
    </w:r>
    <w:r w:rsidR="00624037">
      <w:rPr>
        <w:noProof/>
      </w:rPr>
      <w:t>1</w:t>
    </w:r>
    <w:r>
      <w:fldChar w:fldCharType="end"/>
    </w:r>
    <w:r>
      <w:tab/>
    </w:r>
    <w:r w:rsidRPr="00F164C2">
      <w:tab/>
    </w:r>
    <w:r w:rsidRPr="00F164C2">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E09C" w14:textId="77777777" w:rsidR="00F164C2" w:rsidRPr="00F164C2" w:rsidRDefault="00F164C2" w:rsidP="00F16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B8949" w14:textId="77777777" w:rsidR="00942512" w:rsidRDefault="00942512" w:rsidP="002402D9">
      <w:pPr>
        <w:spacing w:before="0" w:after="0"/>
      </w:pPr>
      <w:r>
        <w:separator/>
      </w:r>
    </w:p>
  </w:footnote>
  <w:footnote w:type="continuationSeparator" w:id="0">
    <w:p w14:paraId="7CFCE75E" w14:textId="77777777" w:rsidR="00942512" w:rsidRDefault="00942512" w:rsidP="002402D9">
      <w:pPr>
        <w:spacing w:before="0" w:after="0"/>
      </w:pPr>
      <w:r>
        <w:continuationSeparator/>
      </w:r>
    </w:p>
  </w:footnote>
  <w:footnote w:id="1">
    <w:p w14:paraId="61B7C3C8" w14:textId="77777777" w:rsidR="002402D9" w:rsidRPr="007C41C9" w:rsidRDefault="002402D9" w:rsidP="002402D9">
      <w:pPr>
        <w:pStyle w:val="FootnoteText"/>
        <w:ind w:left="284" w:hanging="284"/>
      </w:pPr>
      <w:r>
        <w:rPr>
          <w:rStyle w:val="FootnoteReference"/>
        </w:rPr>
        <w:footnoteRef/>
      </w:r>
      <w:r>
        <w:tab/>
        <w:t>EUT L 119 af 4.5 2016, s. 1.</w:t>
      </w:r>
    </w:p>
  </w:footnote>
  <w:footnote w:id="2">
    <w:p w14:paraId="61DEB28F" w14:textId="77777777" w:rsidR="002402D9" w:rsidRPr="007B0858" w:rsidRDefault="002402D9" w:rsidP="002402D9">
      <w:pPr>
        <w:pStyle w:val="FootnoteText"/>
        <w:ind w:left="284" w:hanging="284"/>
      </w:pPr>
      <w:r>
        <w:rPr>
          <w:rStyle w:val="FootnoteReference"/>
        </w:rPr>
        <w:footnoteRef/>
      </w:r>
      <w:r>
        <w:tab/>
        <w:t>EUT L 295 af 21.11 2018, s. 39.</w:t>
      </w:r>
    </w:p>
  </w:footnote>
  <w:footnote w:id="3">
    <w:p w14:paraId="37750F29" w14:textId="77777777" w:rsidR="002402D9" w:rsidRPr="003C5835" w:rsidRDefault="002402D9" w:rsidP="002402D9">
      <w:pPr>
        <w:pStyle w:val="FootnoteText"/>
        <w:ind w:left="284" w:hanging="284"/>
      </w:pPr>
      <w:r>
        <w:rPr>
          <w:rStyle w:val="FootnoteReference"/>
        </w:rPr>
        <w:footnoteRef/>
      </w:r>
      <w:r>
        <w:tab/>
      </w:r>
      <w:r w:rsidR="001A79A0">
        <w:t>Fælles udtalelse 1/2021 fra Det Europæiske Databeskyttelsesråd og Den Europæiske Tilsynsførende for Databeskyttelse om Europa-Kommissionens gennemførelsesafgørelse om standardkontraktbestemmelser mellem dataansvarlige og databehandlere   med henblik på de spørgsmål, der er omhandlet i artikel 28, stk. 7 i forordning (EU) 2016/679 og artikel 29, stk. 7 i forordning (EU)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da-DK" w:vendorID="64" w:dllVersion="131078" w:nlCheck="1" w:checkStyle="0"/>
  <w:activeWritingStyle w:appName="MSWord" w:lang="en-US" w:vendorID="64" w:dllVersion="131078" w:nlCheck="1" w:checkStyle="1"/>
  <w:attachedTemplate r:id="rId1"/>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19 14:25:11"/>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AB9447FB-C18D-4E64-A652-669BD8EE2A64"/>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SJ-032"/>
    <w:docVar w:name="LW_ID_DOCSIGNATURE" w:val="SJ-032"/>
    <w:docVar w:name="LW_ID_DOCSTRUCTURE" w:val="COM/AA"/>
    <w:docVar w:name="LW_ID_DOCTYPE" w:val="SJ-032"/>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standardkontraktbestemmelser mellem dataansvarlige og databehandlere i henhold til artikel 28, stk. 7, i Europa-Parlamentets og Rådets forordning (EU) 2016/679 og artikel 29, stk. 7, i Europa-Parlamentets og Rådets forordning (EU) 2018/1725"/>
    <w:docVar w:name="LW_TYPE.DOC.CP" w:val="KOMMISSIONENS GENNEMFØRELSESAFGØRELSE (EU) \u8230?/\u8230?"/>
  </w:docVars>
  <w:rsids>
    <w:rsidRoot w:val="002402D9"/>
    <w:rsid w:val="000A4ECB"/>
    <w:rsid w:val="000A7517"/>
    <w:rsid w:val="000E198E"/>
    <w:rsid w:val="001177C7"/>
    <w:rsid w:val="001340E7"/>
    <w:rsid w:val="001411D5"/>
    <w:rsid w:val="001A79A0"/>
    <w:rsid w:val="001C2816"/>
    <w:rsid w:val="001E1208"/>
    <w:rsid w:val="00213C09"/>
    <w:rsid w:val="00224732"/>
    <w:rsid w:val="00232E98"/>
    <w:rsid w:val="00237340"/>
    <w:rsid w:val="002402D9"/>
    <w:rsid w:val="002532DA"/>
    <w:rsid w:val="002623D9"/>
    <w:rsid w:val="00275FE2"/>
    <w:rsid w:val="002C0FB7"/>
    <w:rsid w:val="00364079"/>
    <w:rsid w:val="00420AAE"/>
    <w:rsid w:val="0048570C"/>
    <w:rsid w:val="004B1BCC"/>
    <w:rsid w:val="004D6C74"/>
    <w:rsid w:val="004D7C78"/>
    <w:rsid w:val="00503DC3"/>
    <w:rsid w:val="00575ADC"/>
    <w:rsid w:val="005951BB"/>
    <w:rsid w:val="005D6D0A"/>
    <w:rsid w:val="00620EA2"/>
    <w:rsid w:val="00624037"/>
    <w:rsid w:val="00640141"/>
    <w:rsid w:val="006E1BCC"/>
    <w:rsid w:val="0070128F"/>
    <w:rsid w:val="0070727D"/>
    <w:rsid w:val="007C06F6"/>
    <w:rsid w:val="008873C4"/>
    <w:rsid w:val="00894AF5"/>
    <w:rsid w:val="008A0798"/>
    <w:rsid w:val="00942512"/>
    <w:rsid w:val="00986B33"/>
    <w:rsid w:val="00986D45"/>
    <w:rsid w:val="00987AD5"/>
    <w:rsid w:val="009B7138"/>
    <w:rsid w:val="009D7B26"/>
    <w:rsid w:val="00A743BA"/>
    <w:rsid w:val="00AB596B"/>
    <w:rsid w:val="00AE50AF"/>
    <w:rsid w:val="00BC2BB3"/>
    <w:rsid w:val="00BE246D"/>
    <w:rsid w:val="00BF17AA"/>
    <w:rsid w:val="00C24556"/>
    <w:rsid w:val="00C71834"/>
    <w:rsid w:val="00CC49B0"/>
    <w:rsid w:val="00D53A22"/>
    <w:rsid w:val="00D60C6C"/>
    <w:rsid w:val="00D64D62"/>
    <w:rsid w:val="00DF46BA"/>
    <w:rsid w:val="00DF6773"/>
    <w:rsid w:val="00DF6971"/>
    <w:rsid w:val="00E23269"/>
    <w:rsid w:val="00E37448"/>
    <w:rsid w:val="00E43DAA"/>
    <w:rsid w:val="00E50D23"/>
    <w:rsid w:val="00ED3E3C"/>
    <w:rsid w:val="00F164C2"/>
    <w:rsid w:val="00F20062"/>
    <w:rsid w:val="00F476B5"/>
    <w:rsid w:val="00F90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E132536"/>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da-DK"/>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da-DK"/>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1</TotalTime>
  <Pages>3</Pages>
  <Words>1223</Words>
  <Characters>7698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DYBRO JOHANSEN Ane (DIGIT)</cp:lastModifiedBy>
  <cp:revision>3</cp:revision>
  <dcterms:created xsi:type="dcterms:W3CDTF">2021-05-19T12:24:00Z</dcterms:created>
  <dcterms:modified xsi:type="dcterms:W3CDTF">2021-05-19T12:25:00Z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